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widowControl w:val="0"/>
        <w:spacing w:after="200" w:line="240" w:lineRule="auto"/>
        <w:rPr>
          <w:sz w:val="30"/>
          <w:szCs w:val="30"/>
        </w:rPr>
      </w:pPr>
      <w:bookmarkStart w:colFirst="0" w:colLast="0" w:name="_heading=h.hw4akb2d1tz6" w:id="0"/>
      <w:bookmarkEnd w:id="0"/>
      <w:r w:rsidDel="00000000" w:rsidR="00000000" w:rsidRPr="00000000">
        <w:rPr>
          <w:sz w:val="30"/>
          <w:szCs w:val="30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510528</wp:posOffset>
                </wp:positionH>
                <wp:positionV relativeFrom="page">
                  <wp:posOffset>1643076</wp:posOffset>
                </wp:positionV>
                <wp:extent cx="112650" cy="6310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38150" y="2922300"/>
                          <a:ext cx="215700" cy="1715400"/>
                        </a:xfrm>
                        <a:prstGeom prst="rect">
                          <a:avLst/>
                        </a:prstGeom>
                        <a:solidFill>
                          <a:srgbClr val="24C1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510528</wp:posOffset>
                </wp:positionH>
                <wp:positionV relativeFrom="page">
                  <wp:posOffset>1643076</wp:posOffset>
                </wp:positionV>
                <wp:extent cx="112650" cy="63105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650" cy="631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30"/>
          <w:szCs w:val="30"/>
          <w:rtl w:val="0"/>
        </w:rPr>
        <w:t xml:space="preserve">Modulární reaktory uhlí v teplárnách nenahradí, máme dostupnější možnosti</w:t>
      </w:r>
    </w:p>
    <w:p w:rsidR="00000000" w:rsidDel="00000000" w:rsidP="00000000" w:rsidRDefault="00000000" w:rsidRPr="00000000" w14:paraId="00000002">
      <w:pPr>
        <w:widowControl w:val="0"/>
        <w:spacing w:after="200" w:lin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Společná tisková zpráva Centra pro dopravu a energetiku a Calla - sdružení pro záchranu prostředí</w:t>
      </w:r>
    </w:p>
    <w:p w:rsidR="00000000" w:rsidDel="00000000" w:rsidP="00000000" w:rsidRDefault="00000000" w:rsidRPr="00000000" w14:paraId="00000003">
      <w:pPr>
        <w:widowControl w:val="0"/>
        <w:spacing w:after="200" w:line="240" w:lineRule="auto"/>
        <w:rPr/>
      </w:pPr>
      <w:r w:rsidDel="00000000" w:rsidR="00000000" w:rsidRPr="00000000">
        <w:rPr>
          <w:i w:val="1"/>
          <w:iCs w:val="1"/>
          <w:rtl w:val="0"/>
        </w:rPr>
        <w:t xml:space="preserve">Praha, 16.7.2026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0" w:line="27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0" w:line="276" w:lineRule="auto"/>
        <w:ind w:right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  <w:t xml:space="preserve">Jaderné modulární reaktory aktuálně nejsou řešením pro náhradu spalování uhlí v teplárenství.</w:t>
      </w:r>
      <w:r w:rsidDel="00000000" w:rsidR="00000000" w:rsidRPr="00000000">
        <w:rPr>
          <w:b w:val="1"/>
          <w:bCs w:val="1"/>
          <w:rtl w:val="0"/>
        </w:rPr>
        <w:t xml:space="preserve"> </w:t>
      </w:r>
      <w:hyperlink r:id="rId8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Nová analýza</w:t>
        </w:r>
      </w:hyperlink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Centra pro dopravu a energetiku a sdružení Calla ukazuje, že zatímco velká tepelná čerpadla, využití odpadního tepla nebo geotermální energie jsou již komerčně ověřené a dostupné, </w:t>
      </w:r>
      <w:r w:rsidDel="00000000" w:rsidR="00000000" w:rsidRPr="00000000">
        <w:rPr>
          <w:b w:val="1"/>
          <w:bCs w:val="1"/>
          <w:rtl w:val="0"/>
        </w:rPr>
        <w:t xml:space="preserve">modulární reaktory dnes patří k technologiím s vysokou ekonomickou i technologickou nejistotou a nebudou dostupné v čase, kdy bychom je potřebovali. </w:t>
      </w:r>
    </w:p>
    <w:p w:rsidR="00000000" w:rsidDel="00000000" w:rsidP="00000000" w:rsidRDefault="00000000" w:rsidRPr="00000000" w14:paraId="00000006">
      <w:pPr>
        <w:spacing w:before="0" w:line="27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0" w:line="276" w:lineRule="auto"/>
        <w:ind w:right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  <w:t xml:space="preserve">Česká republika jako země s jedním z nejvyšších podílů obyvatel zásobovaných z centrálních zdrojů tepla v Evropě musí hledat cesty, jak v teplárenství rychle nahradit uhlí, na jehož spalování je závislá pořád ještě bezmála polovina odběratelů. O osudu většiny uhelných tepláren se bude rozhodovat už během příštích deseti let, zatímco první nasazení modulárních reaktorů v Česku se očekává, pokud se podaří dokončit vývoj, nejdříve v roce 2035, a to v Temelíně. Velkou neznámou je pak cena jimi vyrobeného tepla. </w:t>
      </w:r>
      <w:r w:rsidDel="00000000" w:rsidR="00000000" w:rsidRPr="00000000">
        <w:rPr>
          <w:b w:val="1"/>
          <w:bCs w:val="1"/>
          <w:rtl w:val="0"/>
        </w:rPr>
        <w:t xml:space="preserve">Pokud má Česko nahradit uhlí včas a za přijatelných nákladů, musí se podle analýzy soustředit především na technologie, které jsou již dnes ověřené v praxi a připravené k nasazení.</w:t>
      </w:r>
    </w:p>
    <w:p w:rsidR="00000000" w:rsidDel="00000000" w:rsidP="00000000" w:rsidRDefault="00000000" w:rsidRPr="00000000" w14:paraId="00000008">
      <w:pPr>
        <w:spacing w:before="0" w:line="27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0" w:line="276" w:lineRule="auto"/>
        <w:ind w:right="0"/>
        <w:jc w:val="left"/>
        <w:rPr/>
      </w:pPr>
      <w:r w:rsidDel="00000000" w:rsidR="00000000" w:rsidRPr="00000000">
        <w:rPr>
          <w:rtl w:val="0"/>
        </w:rPr>
        <w:t xml:space="preserve">„Moderní teplárenské soustavy v Evropě již nyní vyrábějí teplo pomocí celé řady technologií, založených na obnovitelných zdrojích energie,” uvádí autor</w:t>
      </w:r>
      <w:r w:rsidDel="00000000" w:rsidR="00000000" w:rsidRPr="00000000">
        <w:rPr>
          <w:highlight w:val="white"/>
          <w:rtl w:val="0"/>
        </w:rPr>
        <w:t xml:space="preserve">*</w:t>
      </w:r>
      <w:r w:rsidDel="00000000" w:rsidR="00000000" w:rsidRPr="00000000">
        <w:rPr>
          <w:rtl w:val="0"/>
        </w:rPr>
        <w:t xml:space="preserve">ka analýzy </w:t>
      </w:r>
      <w:r w:rsidDel="00000000" w:rsidR="00000000" w:rsidRPr="00000000">
        <w:rPr>
          <w:b w:val="1"/>
          <w:bCs w:val="1"/>
          <w:rtl w:val="0"/>
        </w:rPr>
        <w:t xml:space="preserve">Nika Murzynová</w:t>
      </w:r>
      <w:r w:rsidDel="00000000" w:rsidR="00000000" w:rsidRPr="00000000">
        <w:rPr>
          <w:rtl w:val="0"/>
        </w:rPr>
        <w:t xml:space="preserve">. „Nejčastěji jsou to velká tepelná čerpadla, která mohou využívat energii prostředí, ale také například odpadní teplo z čističek odpadních vod nebo průmyslových procesů; často jsou spojena s akumulací tepla či menšími záložními kotli. Navíc máme k dispozici analýzy, díky kterým víme, kde a jak jejich nasazení dává ekonomický smysl. Čekat v této situaci na chiméru v podobě tepelných jaderných reaktorů je mrhání časem i penězi, a přispívá ke zhoršování klimatické krize.”   </w:t>
      </w:r>
    </w:p>
    <w:p w:rsidR="00000000" w:rsidDel="00000000" w:rsidP="00000000" w:rsidRDefault="00000000" w:rsidRPr="00000000" w14:paraId="0000000A">
      <w:pPr>
        <w:spacing w:before="0" w:line="27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0" w:line="276" w:lineRule="auto"/>
        <w:ind w:right="0"/>
        <w:jc w:val="left"/>
        <w:rPr/>
      </w:pPr>
      <w:r w:rsidDel="00000000" w:rsidR="00000000" w:rsidRPr="00000000">
        <w:rPr>
          <w:rtl w:val="0"/>
        </w:rPr>
        <w:t xml:space="preserve">„Při úvahách, že uhelné kotle v městských teplárnách vyměníme za malé atomové reaktory, se často zapomíná na bezpečnostní aspekty. Stále zde může dojít k úniku radioaktivních látek a okolí musí být patřičně připraveno, bude muset být zajištěno střežení a ochrana, aby se taková teplárna nestala cílem teroristů nebo vojenským,” přip</w:t>
      </w:r>
      <w:r w:rsidDel="00000000" w:rsidR="00000000" w:rsidRPr="00000000">
        <w:rPr>
          <w:rtl w:val="0"/>
        </w:rPr>
        <w:t xml:space="preserve">omíná </w:t>
      </w:r>
      <w:r w:rsidDel="00000000" w:rsidR="00000000" w:rsidRPr="00000000">
        <w:rPr>
          <w:b w:val="1"/>
          <w:bCs w:val="1"/>
          <w:rtl w:val="0"/>
        </w:rPr>
        <w:t xml:space="preserve">Edvard Sequens</w:t>
      </w:r>
      <w:r w:rsidDel="00000000" w:rsidR="00000000" w:rsidRPr="00000000">
        <w:rPr>
          <w:rtl w:val="0"/>
        </w:rPr>
        <w:t xml:space="preserve">, energetický konzultant občanského sdružení Calla a doplňuje:</w:t>
      </w:r>
      <w:r w:rsidDel="00000000" w:rsidR="00000000" w:rsidRPr="00000000">
        <w:rPr>
          <w:rtl w:val="0"/>
        </w:rPr>
        <w:t xml:space="preserve"> „Opomíjen zůstává také problém vysoce radioaktivních odpadů, pro které jsme v Česku nenašli uspokojivé řešení, které by nebylo na úkor obyvatelů obcí, kde by mohly skončit.”</w:t>
      </w:r>
    </w:p>
    <w:p w:rsidR="00000000" w:rsidDel="00000000" w:rsidP="00000000" w:rsidRDefault="00000000" w:rsidRPr="00000000" w14:paraId="0000000C">
      <w:pPr>
        <w:spacing w:before="0" w:line="276" w:lineRule="auto"/>
        <w:ind w:right="0"/>
        <w:jc w:val="left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0" w:line="276" w:lineRule="auto"/>
        <w:ind w:right="0"/>
        <w:jc w:val="left"/>
        <w:rPr>
          <w:highlight w:val="yellow"/>
        </w:rPr>
      </w:pPr>
      <w:r w:rsidDel="00000000" w:rsidR="00000000" w:rsidRPr="00000000">
        <w:rPr>
          <w:rtl w:val="0"/>
        </w:rPr>
        <w:t xml:space="preserve">Modulární reaktory Rolls-Royce SMR, se kterými počítá ČEZ pro Temelín, Tušimice, Dětmarovice a další česká města, nejsou malé. Se svojí velikostí 470 MWe spadají mezi reaktory střední a jsou prakticky stejně velké jako reaktory v Dukovanech a větší než reaktory v havarované japonské elektrárně Fukušima. S tím pak souvisí řada obtíží z hlediska bezpečnostních požadavků, jaderné bezpečnosti, akceptace obyvatel nebo třeba dostupnosti vody na chlazení.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0" w:line="27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0" w:line="276" w:lineRule="auto"/>
        <w:ind w:right="0"/>
        <w:jc w:val="left"/>
        <w:rPr/>
      </w:pPr>
      <w:r w:rsidDel="00000000" w:rsidR="00000000" w:rsidRPr="00000000">
        <w:rPr>
          <w:rtl w:val="0"/>
        </w:rPr>
        <w:t xml:space="preserve">Nejdůležitějším a současně často nejlevnějším nástrojem dekarbonizace teplárenství není výstavba nových zdrojů, ale snižování celkové spotřeby tepla a zvyšování efektivity jeho distribuce a využití. Množství energie, které nebude nutné vyrobit, přepravit ani zaplatit, představuje nejrychlejší cestu ke snížení emisí, závislosti na dovozu paliv ze třetích zemí i samotného rozsahu a nákladů na transformaci teplárenství.</w:t>
      </w:r>
    </w:p>
    <w:p w:rsidR="00000000" w:rsidDel="00000000" w:rsidP="00000000" w:rsidRDefault="00000000" w:rsidRPr="00000000" w14:paraId="00000010">
      <w:pPr>
        <w:spacing w:before="0" w:line="27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0" w:line="276" w:lineRule="auto"/>
        <w:ind w:right="0"/>
        <w:jc w:val="left"/>
        <w:rPr/>
      </w:pPr>
      <w:r w:rsidDel="00000000" w:rsidR="00000000" w:rsidRPr="00000000">
        <w:rPr>
          <w:rtl w:val="0"/>
        </w:rPr>
        <w:t xml:space="preserve">Vedle snižování spotřeby tepla a modernizace soustav existuje řada technologických řešení, která mohou přispět k postupnému nahrazení uhlí. Ve městech i průmyslových areálech vzniká značné množství tepla, které je dnes bez užitku odváděno do okolního prostředí.  Významnou roli budou pravděpodobně hrát také velká tepelná čerpadla a za další z perspektivních technologií je v některých regionech považována geotermální energie.</w:t>
      </w:r>
    </w:p>
    <w:p w:rsidR="00000000" w:rsidDel="00000000" w:rsidP="00000000" w:rsidRDefault="00000000" w:rsidRPr="00000000" w14:paraId="00000012">
      <w:pPr>
        <w:spacing w:before="0" w:line="27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0" w:line="27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0" w:line="276" w:lineRule="auto"/>
        <w:ind w:right="0"/>
        <w:jc w:val="left"/>
        <w:rPr/>
      </w:pPr>
      <w:r w:rsidDel="00000000" w:rsidR="00000000" w:rsidRPr="00000000">
        <w:rPr>
          <w:rtl w:val="0"/>
        </w:rPr>
        <w:t xml:space="preserve">Kontakty:</w:t>
      </w:r>
    </w:p>
    <w:p w:rsidR="00000000" w:rsidDel="00000000" w:rsidP="00000000" w:rsidRDefault="00000000" w:rsidRPr="00000000" w14:paraId="00000015">
      <w:pPr>
        <w:spacing w:before="0" w:line="276" w:lineRule="auto"/>
        <w:ind w:right="0"/>
        <w:jc w:val="left"/>
        <w:rPr>
          <w:highlight w:val="white"/>
        </w:rPr>
      </w:pPr>
      <w:r w:rsidDel="00000000" w:rsidR="00000000" w:rsidRPr="00000000">
        <w:rPr>
          <w:b w:val="1"/>
          <w:bCs w:val="1"/>
          <w:rtl w:val="0"/>
        </w:rPr>
        <w:t xml:space="preserve">Nika Murzynová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highlight w:val="white"/>
          <w:rtl w:val="0"/>
        </w:rPr>
        <w:t xml:space="preserve">expert*ka na energetickou transformaci, Centrum pro dopravu a energetiku, </w:t>
      </w:r>
    </w:p>
    <w:p w:rsidR="00000000" w:rsidDel="00000000" w:rsidP="00000000" w:rsidRDefault="00000000" w:rsidRPr="00000000" w14:paraId="00000016">
      <w:pPr>
        <w:spacing w:before="0" w:line="276" w:lineRule="auto"/>
        <w:ind w:right="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tel.: 728 267 356, e-mail: veronika.murzynova@cde-org.cz</w:t>
      </w:r>
    </w:p>
    <w:p w:rsidR="00000000" w:rsidDel="00000000" w:rsidP="00000000" w:rsidRDefault="00000000" w:rsidRPr="00000000" w14:paraId="00000017">
      <w:pPr>
        <w:spacing w:before="0" w:line="27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0" w:line="276" w:lineRule="auto"/>
        <w:ind w:right="0"/>
        <w:rPr/>
      </w:pPr>
      <w:r w:rsidDel="00000000" w:rsidR="00000000" w:rsidRPr="00000000">
        <w:rPr>
          <w:b w:val="1"/>
          <w:bCs w:val="1"/>
          <w:rtl w:val="0"/>
        </w:rPr>
        <w:t xml:space="preserve">Edvard Sequens,</w:t>
      </w:r>
      <w:r w:rsidDel="00000000" w:rsidR="00000000" w:rsidRPr="00000000">
        <w:rPr>
          <w:rtl w:val="0"/>
        </w:rPr>
        <w:t xml:space="preserve"> energetický konzultant, Calla – Sdružení pro záchranu prostředí, </w:t>
      </w:r>
    </w:p>
    <w:p w:rsidR="00000000" w:rsidDel="00000000" w:rsidP="00000000" w:rsidRDefault="00000000" w:rsidRPr="00000000" w14:paraId="00000019">
      <w:pPr>
        <w:spacing w:before="0" w:line="276" w:lineRule="auto"/>
        <w:ind w:right="0"/>
        <w:rPr/>
      </w:pPr>
      <w:r w:rsidDel="00000000" w:rsidR="00000000" w:rsidRPr="00000000">
        <w:rPr>
          <w:rtl w:val="0"/>
        </w:rPr>
        <w:t xml:space="preserve">tel.: 602 282 399, e-mail: edvard.sequens@calla.cz</w:t>
      </w:r>
    </w:p>
    <w:p w:rsidR="00000000" w:rsidDel="00000000" w:rsidP="00000000" w:rsidRDefault="00000000" w:rsidRPr="00000000" w14:paraId="0000001A">
      <w:pPr>
        <w:spacing w:before="0" w:line="27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92034912109375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40" w:w="11900" w:orient="portrait"/>
      <w:pgMar w:bottom="1818.8976377952763" w:top="2267.716535433071" w:left="1417.3228346456694" w:right="882.406005859375" w:header="720" w:footer="31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Red Hat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tabs>
        <w:tab w:val="left" w:leader="none" w:pos="9501.020050048828"/>
      </w:tabs>
      <w:ind w:left="0" w:firstLine="0"/>
      <w:rPr>
        <w:rFonts w:ascii="Red Hat Display" w:cs="Red Hat Display" w:eastAsia="Red Hat Display" w:hAnsi="Red Hat Display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widowControl w:val="0"/>
      <w:spacing w:line="240" w:lineRule="auto"/>
      <w:ind w:left="85.8599853515625" w:firstLine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76201</wp:posOffset>
          </wp:positionH>
          <wp:positionV relativeFrom="paragraph">
            <wp:posOffset>14288</wp:posOffset>
          </wp:positionV>
          <wp:extent cx="1194619" cy="514350"/>
          <wp:effectExtent b="0" l="0" r="0" t="0"/>
          <wp:wrapSquare wrapText="bothSides" distB="114300" distT="11430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94619" cy="5143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3781425</wp:posOffset>
          </wp:positionH>
          <wp:positionV relativeFrom="paragraph">
            <wp:posOffset>19051</wp:posOffset>
          </wp:positionV>
          <wp:extent cx="2184946" cy="504825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84946" cy="5048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ed Hat Display" w:cs="Red Hat Display" w:eastAsia="Red Hat Display" w:hAnsi="Red Hat Display"/>
        <w:sz w:val="22"/>
        <w:szCs w:val="22"/>
      </w:rPr>
    </w:rPrDefault>
    <w:pPrDefault>
      <w:pPr>
        <w:spacing w:before="383.260498046875" w:line="290.7927417755127" w:lineRule="auto"/>
        <w:ind w:right="437.088623046875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yperlink" Target="https://www.cde-org.cz/cs/blog/muze-jadro-nahradit-uhli-v-teplarnach/2923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edHatDisplay-regular.ttf"/><Relationship Id="rId2" Type="http://schemas.openxmlformats.org/officeDocument/2006/relationships/font" Target="fonts/RedHatDisplay-bold.ttf"/><Relationship Id="rId3" Type="http://schemas.openxmlformats.org/officeDocument/2006/relationships/font" Target="fonts/RedHatDisplay-italic.ttf"/><Relationship Id="rId4" Type="http://schemas.openxmlformats.org/officeDocument/2006/relationships/font" Target="fonts/RedHatDisplay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gKOWlQ87BTLKZbP6LTVmLq9fBA==">CgMxLjAyDmguaHc0YWtiMmQxdHo2OAByITFSVkdhMnE0bUxRLXRJSm9lZVJ3SVRqMHgzd0pzdk13MA==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